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C39CF">
      <w:pPr>
        <w:pStyle w:val="12"/>
        <w:jc w:val="left"/>
        <w:rPr>
          <w:rFonts w:hint="eastAsia"/>
          <w:color w:val="auto"/>
          <w:highlight w:val="none"/>
        </w:rPr>
      </w:pPr>
      <w:bookmarkStart w:id="0" w:name="_Toc136940559"/>
      <w:bookmarkStart w:id="1" w:name="_Toc136940439"/>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14:paraId="757A95B1">
      <w:pPr>
        <w:pStyle w:val="13"/>
        <w:rPr>
          <w:rFonts w:hint="eastAsia"/>
          <w:color w:val="auto"/>
          <w:highlight w:val="none"/>
          <w:shd w:val="clear" w:color="auto" w:fill="auto"/>
        </w:rPr>
      </w:pPr>
      <w:bookmarkStart w:id="2" w:name="_Hlk44947073"/>
      <w:bookmarkStart w:id="3" w:name="_Toc524343453"/>
    </w:p>
    <w:p w14:paraId="16DDF23C">
      <w:pPr>
        <w:pStyle w:val="13"/>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附录1 </w:t>
      </w:r>
      <w:bookmarkEnd w:id="2"/>
      <w:r>
        <w:rPr>
          <w:rFonts w:hint="eastAsia" w:ascii="宋体" w:hAnsi="宋体" w:eastAsia="宋体" w:cs="宋体"/>
          <w:color w:val="auto"/>
          <w:highlight w:val="none"/>
          <w:shd w:val="clear" w:color="auto" w:fill="auto"/>
        </w:rPr>
        <w:t xml:space="preserve"> 资格审查条件(资质最低条件)</w:t>
      </w:r>
      <w:bookmarkEnd w:id="3"/>
    </w:p>
    <w:tbl>
      <w:tblPr>
        <w:tblStyle w:val="10"/>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14:paraId="34CF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14:paraId="1EE571F4">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资质要求</w:t>
            </w:r>
          </w:p>
        </w:tc>
      </w:tr>
      <w:tr w14:paraId="6B8A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5" w:hRule="atLeast"/>
          <w:jc w:val="center"/>
        </w:trPr>
        <w:tc>
          <w:tcPr>
            <w:tcW w:w="9072" w:type="dxa"/>
            <w:vAlign w:val="center"/>
          </w:tcPr>
          <w:p w14:paraId="4F3B9899">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s="宋体"/>
                <w:color w:val="auto"/>
                <w:sz w:val="24"/>
                <w:szCs w:val="24"/>
                <w:highlight w:val="none"/>
                <w:lang w:eastAsia="zh-CN"/>
              </w:rPr>
              <w:t>具有独立企业法人资格，持有有效的企业营业执照。</w:t>
            </w:r>
          </w:p>
        </w:tc>
      </w:tr>
    </w:tbl>
    <w:p w14:paraId="7DF121DA">
      <w:pPr>
        <w:pStyle w:val="13"/>
        <w:rPr>
          <w:rFonts w:hint="eastAsia" w:ascii="宋体" w:hAnsi="宋体" w:eastAsia="宋体" w:cs="宋体"/>
          <w:color w:val="auto"/>
          <w:highlight w:val="none"/>
          <w:shd w:val="clear" w:color="auto" w:fill="auto"/>
        </w:rPr>
      </w:pPr>
    </w:p>
    <w:p w14:paraId="1ECD95D2">
      <w:pPr>
        <w:pStyle w:val="13"/>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rPr>
        <w:t xml:space="preserve">附录2  </w:t>
      </w:r>
      <w:r>
        <w:rPr>
          <w:rFonts w:hint="eastAsia" w:ascii="宋体" w:hAnsi="宋体" w:eastAsia="宋体" w:cs="宋体"/>
          <w:color w:val="auto"/>
          <w:highlight w:val="none"/>
          <w:shd w:val="clear" w:color="auto" w:fill="auto"/>
        </w:rPr>
        <w:t>信誉审查条件(信誉最低要求)</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14:paraId="501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14:paraId="4CE27D74">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信誉要求</w:t>
            </w:r>
          </w:p>
        </w:tc>
      </w:tr>
      <w:tr w14:paraId="7943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14:paraId="6A3D2790">
            <w:pPr>
              <w:adjustRightInd w:val="0"/>
              <w:snapToGrid w:val="0"/>
              <w:spacing w:line="360" w:lineRule="auto"/>
              <w:ind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投标人在过去1年中(2023年11月1日至今)不曾在车辆供货合同中违约而被驱逐或因投标人自身的原因而使车辆供货合同被解除。</w:t>
            </w:r>
          </w:p>
        </w:tc>
      </w:tr>
    </w:tbl>
    <w:p w14:paraId="312C8D28">
      <w:pPr>
        <w:widowControl/>
        <w:rPr>
          <w:rFonts w:hint="eastAsia"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14:paraId="7C42ACB1">
      <w:pPr>
        <w:pStyle w:val="3"/>
        <w:ind w:left="110" w:firstLine="0"/>
        <w:rPr>
          <w:rFonts w:hint="eastAsia" w:ascii="宋体" w:hAnsi="宋体" w:cs="宋体"/>
          <w:color w:val="auto"/>
          <w:highlight w:val="none"/>
        </w:rPr>
      </w:pPr>
      <w:r>
        <w:rPr>
          <w:rFonts w:hint="eastAsia" w:ascii="宋体" w:hAnsi="宋体" w:cs="宋体"/>
          <w:color w:val="auto"/>
          <w:highlight w:val="none"/>
        </w:rPr>
        <w:t>附件2：评标办法（综合评估法）</w:t>
      </w:r>
    </w:p>
    <w:p w14:paraId="630CEC44">
      <w:pPr>
        <w:autoSpaceDE w:val="0"/>
        <w:autoSpaceDN w:val="0"/>
        <w:adjustRightInd w:val="0"/>
        <w:snapToGrid w:val="0"/>
        <w:spacing w:line="360" w:lineRule="auto"/>
        <w:ind w:right="113"/>
        <w:jc w:val="center"/>
        <w:rPr>
          <w:rFonts w:hint="eastAsia" w:ascii="宋体" w:hAnsi="宋体" w:cs="宋体"/>
          <w:b/>
          <w:bCs/>
          <w:color w:val="auto"/>
          <w:sz w:val="24"/>
          <w:szCs w:val="32"/>
          <w:highlight w:val="none"/>
        </w:rPr>
      </w:pPr>
      <w:bookmarkStart w:id="4" w:name="_Toc512534238"/>
      <w:bookmarkStart w:id="5" w:name="_Toc136940560"/>
      <w:r>
        <w:rPr>
          <w:rFonts w:hint="eastAsia" w:ascii="宋体" w:hAnsi="宋体" w:cs="宋体"/>
          <w:b/>
          <w:bCs/>
          <w:color w:val="auto"/>
          <w:sz w:val="24"/>
          <w:szCs w:val="32"/>
          <w:highlight w:val="none"/>
        </w:rPr>
        <w:t>评标办法前附表</w:t>
      </w:r>
    </w:p>
    <w:tbl>
      <w:tblPr>
        <w:tblStyle w:val="1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14:paraId="05B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14:paraId="6EE7B76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14:paraId="62BAB017">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14:paraId="61A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6F9A1141">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14:paraId="1D4B7CF4">
            <w:pPr>
              <w:snapToGrid w:val="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14:paraId="47CA5F4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本条修改为：</w:t>
            </w:r>
          </w:p>
          <w:p w14:paraId="696516E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评标采用综合评估法。评标委员会对满足招标文件实质性要求的投标文件，按照本章第2.3款规定的评分标准进行打分，并按综合得分由高到低顺序推荐1-3名中标候选人。当综合得分相等时按以下顺序推荐中标候选人：</w:t>
            </w:r>
          </w:p>
          <w:p w14:paraId="080EDAD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（1）以评标价低的优先；</w:t>
            </w:r>
          </w:p>
          <w:p w14:paraId="79750BB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（2）当评标价相等时，以技术部分得分高的优先；</w:t>
            </w:r>
          </w:p>
          <w:p w14:paraId="11A5F59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（3）技术部分得分也相等时，由评标委员会投票确定。</w:t>
            </w:r>
          </w:p>
          <w:p w14:paraId="4CED139C">
            <w:pPr>
              <w:pStyle w:val="4"/>
              <w:jc w:val="both"/>
              <w:rPr>
                <w:rFonts w:hint="eastAsia" w:cs="宋体"/>
                <w:color w:val="auto"/>
                <w:sz w:val="24"/>
                <w:szCs w:val="24"/>
                <w:highlight w:val="none"/>
                <w:lang w:eastAsia="zh-CN"/>
              </w:rPr>
            </w:pPr>
            <w:r>
              <w:rPr>
                <w:rFonts w:hint="eastAsia" w:cs="宋体"/>
                <w:color w:val="auto"/>
                <w:sz w:val="24"/>
                <w:szCs w:val="24"/>
                <w:highlight w:val="none"/>
                <w:lang w:eastAsia="zh-CN"/>
              </w:rPr>
              <w:t>注：本项目按标段号（标段1、标段2、标段3）的顺序逐一进行评审，如同一投标人参与两个标段的投标且得分均排名第一时，只推荐为前一标段的第一中标候选人。</w:t>
            </w:r>
          </w:p>
        </w:tc>
      </w:tr>
      <w:tr w14:paraId="5F7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4F49E7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583B94F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14:paraId="2D391769">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14:paraId="5A46CD4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14:paraId="72AA54F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a.投标函按照招标文件规定填报了招标人名称、项目名称、标段号、补遗书编号（如有）、交货期、交货地点、质量标准、投标报价（包括大写金额和小写金额）；</w:t>
            </w:r>
          </w:p>
          <w:p w14:paraId="2214942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14:paraId="6BDA86B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14:paraId="1879E908">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14:paraId="085D402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14:paraId="0545AF3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14:paraId="49EE78B1">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14:paraId="46B0E1FB">
            <w:pPr>
              <w:snapToGrid w:val="0"/>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14:paraId="29650540">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14:paraId="1DD11F0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14:paraId="2622DCF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14:paraId="0B082006">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w:t>
            </w:r>
            <w:r>
              <w:rPr>
                <w:rFonts w:hint="eastAsia" w:ascii="宋体" w:hAnsi="宋体" w:eastAsia="宋体" w:cs="宋体"/>
                <w:color w:val="auto"/>
                <w:sz w:val="24"/>
                <w:szCs w:val="24"/>
                <w:highlight w:val="none"/>
                <w:lang w:val="en-US" w:eastAsia="zh-CN"/>
              </w:rPr>
              <w:t>人所投设备须</w:t>
            </w:r>
            <w:r>
              <w:rPr>
                <w:rFonts w:hint="eastAsia" w:ascii="宋体" w:hAnsi="宋体" w:eastAsia="宋体" w:cs="宋体"/>
                <w:color w:val="auto"/>
                <w:sz w:val="24"/>
                <w:szCs w:val="24"/>
                <w:highlight w:val="none"/>
                <w:lang w:eastAsia="zh-CN"/>
              </w:rPr>
              <w:t>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14:paraId="16F0D84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）技术支持资料符合第二章“投标人须知”第1.11.3项规定。</w:t>
            </w:r>
          </w:p>
          <w:p w14:paraId="7978C06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递交的投标文件与所投标段一致</w:t>
            </w:r>
            <w:r>
              <w:rPr>
                <w:rFonts w:hint="eastAsia" w:ascii="宋体" w:hAnsi="宋体" w:eastAsia="宋体" w:cs="宋体"/>
                <w:color w:val="auto"/>
                <w:sz w:val="24"/>
                <w:szCs w:val="24"/>
                <w:highlight w:val="none"/>
                <w:lang w:eastAsia="zh-CN"/>
              </w:rPr>
              <w:t>。</w:t>
            </w:r>
          </w:p>
          <w:p w14:paraId="4613836D">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）权利义务符合招标文件规定：</w:t>
            </w:r>
          </w:p>
          <w:p w14:paraId="1512FCA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14:paraId="4F7DECE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14:paraId="2E6DF8B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c．投标人未提出不同的验收、计量、支付办法；</w:t>
            </w:r>
          </w:p>
          <w:p w14:paraId="47F3727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14:paraId="5C3F9AA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14:paraId="5104EB8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14:paraId="12ADC5B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）投标人名称与营业执照一致，如企业名称有变更的，应提供其变更记录或相关部门的合法批件复印件。</w:t>
            </w:r>
          </w:p>
          <w:p w14:paraId="25123B7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）投标报价、分项报价未超过招标文件设定的最高投标限价。</w:t>
            </w:r>
          </w:p>
          <w:p w14:paraId="0E10F5A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）投标报价的大写金额能够确定具体数值。</w:t>
            </w:r>
          </w:p>
          <w:p w14:paraId="3621C45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）投标报价表</w:t>
            </w:r>
            <w:r>
              <w:rPr>
                <w:rFonts w:hint="eastAsia" w:ascii="宋体" w:hAnsi="宋体" w:eastAsia="宋体" w:cs="宋体"/>
                <w:strike w:val="0"/>
                <w:dstrike w:val="0"/>
                <w:color w:val="auto"/>
                <w:sz w:val="24"/>
                <w:szCs w:val="24"/>
                <w:highlight w:val="none"/>
                <w:lang w:eastAsia="zh-CN"/>
              </w:rPr>
              <w:t>投标</w:t>
            </w:r>
            <w:r>
              <w:rPr>
                <w:rFonts w:hint="eastAsia" w:ascii="宋体" w:hAnsi="宋体" w:eastAsia="宋体" w:cs="宋体"/>
                <w:color w:val="auto"/>
                <w:sz w:val="24"/>
                <w:szCs w:val="24"/>
                <w:highlight w:val="none"/>
                <w:lang w:eastAsia="zh-CN"/>
              </w:rPr>
              <w:t>报价与投标函大写金额报价一致的。</w:t>
            </w:r>
          </w:p>
          <w:p w14:paraId="2BFF6414">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）投标人未对</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）以上标段投标。</w:t>
            </w:r>
          </w:p>
        </w:tc>
      </w:tr>
      <w:tr w14:paraId="025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6BA46AF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14:paraId="216B1BB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14:paraId="0842966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14:paraId="11B5D3B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（2）投标人的资质条件符合招标文件规定；</w:t>
            </w:r>
          </w:p>
          <w:p w14:paraId="015A08D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14:paraId="2D67D2F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14:paraId="69D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31921F1E">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14:paraId="02CABF94">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14:paraId="6CC1F72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0705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41C8DE5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w:t>
            </w:r>
          </w:p>
        </w:tc>
        <w:tc>
          <w:tcPr>
            <w:tcW w:w="1546" w:type="dxa"/>
            <w:vAlign w:val="center"/>
          </w:tcPr>
          <w:p w14:paraId="523C2D85">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14:paraId="5B207F4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14:paraId="0E4A4873">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技术部分：60分</w:t>
            </w:r>
          </w:p>
          <w:p w14:paraId="7F19C9F0">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投标报价：40分</w:t>
            </w:r>
          </w:p>
        </w:tc>
      </w:tr>
      <w:tr w14:paraId="4029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17C822C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546" w:type="dxa"/>
            <w:vAlign w:val="center"/>
          </w:tcPr>
          <w:p w14:paraId="4B4316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14:paraId="23751CA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6968" w:type="dxa"/>
            <w:vAlign w:val="center"/>
          </w:tcPr>
          <w:p w14:paraId="3A0979F5">
            <w:pPr>
              <w:pStyle w:val="9"/>
              <w:spacing w:line="240" w:lineRule="auto"/>
              <w:rPr>
                <w:rFonts w:hint="eastAsia" w:cs="宋体"/>
                <w:color w:val="auto"/>
                <w:szCs w:val="24"/>
                <w:highlight w:val="none"/>
              </w:rPr>
            </w:pPr>
            <w:r>
              <w:rPr>
                <w:rFonts w:hint="eastAsia" w:cs="宋体"/>
                <w:color w:val="auto"/>
                <w:szCs w:val="24"/>
                <w:highlight w:val="none"/>
              </w:rPr>
              <w:t>评标基准价的计算：</w:t>
            </w:r>
          </w:p>
          <w:p w14:paraId="04DE0CE4">
            <w:pPr>
              <w:pStyle w:val="9"/>
              <w:spacing w:line="240" w:lineRule="auto"/>
              <w:rPr>
                <w:rFonts w:hint="eastAsia" w:cs="宋体"/>
                <w:color w:val="auto"/>
                <w:szCs w:val="24"/>
                <w:highlight w:val="none"/>
              </w:rPr>
            </w:pPr>
            <w:r>
              <w:rPr>
                <w:rFonts w:hint="eastAsia" w:cs="宋体"/>
                <w:color w:val="auto"/>
                <w:szCs w:val="24"/>
                <w:highlight w:val="none"/>
              </w:rPr>
              <w:t>1、评标价的确定：</w:t>
            </w:r>
          </w:p>
          <w:p w14:paraId="09DC2B85">
            <w:pPr>
              <w:pStyle w:val="9"/>
              <w:spacing w:line="240" w:lineRule="auto"/>
              <w:rPr>
                <w:rFonts w:hint="eastAsia" w:cs="宋体"/>
                <w:color w:val="auto"/>
                <w:szCs w:val="24"/>
                <w:highlight w:val="none"/>
              </w:rPr>
            </w:pPr>
            <w:r>
              <w:rPr>
                <w:rFonts w:hint="eastAsia" w:cs="宋体"/>
                <w:color w:val="auto"/>
                <w:szCs w:val="24"/>
                <w:highlight w:val="none"/>
              </w:rPr>
              <w:t>评标价=投标函文字报价</w:t>
            </w:r>
          </w:p>
          <w:p w14:paraId="6DB0E905">
            <w:pPr>
              <w:pStyle w:val="9"/>
              <w:spacing w:line="240" w:lineRule="auto"/>
              <w:rPr>
                <w:rFonts w:hint="eastAsia" w:cs="宋体"/>
                <w:color w:val="auto"/>
                <w:szCs w:val="24"/>
                <w:highlight w:val="none"/>
              </w:rPr>
            </w:pPr>
            <w:r>
              <w:rPr>
                <w:rFonts w:hint="eastAsia" w:cs="宋体"/>
                <w:color w:val="auto"/>
                <w:szCs w:val="24"/>
                <w:highlight w:val="none"/>
              </w:rPr>
              <w:t>2、评标价平均值的计算：</w:t>
            </w:r>
          </w:p>
          <w:p w14:paraId="0C0F77DF">
            <w:pPr>
              <w:pStyle w:val="9"/>
              <w:spacing w:line="240" w:lineRule="auto"/>
              <w:rPr>
                <w:rFonts w:hint="eastAsia" w:cs="宋体"/>
                <w:color w:val="auto"/>
                <w:szCs w:val="24"/>
                <w:highlight w:val="none"/>
              </w:rPr>
            </w:pPr>
            <w:r>
              <w:rPr>
                <w:rFonts w:hint="eastAsia" w:cs="宋体"/>
                <w:color w:val="auto"/>
                <w:szCs w:val="24"/>
                <w:highlight w:val="none"/>
                <w:lang w:val="en-US" w:eastAsia="zh-CN"/>
              </w:rPr>
              <w:t>根据第二章“投标人须知”第5.2.4 项规定在开标现场被宣布为不进入评标基准价计算的投标报价除外，</w:t>
            </w:r>
            <w:r>
              <w:rPr>
                <w:rFonts w:hint="eastAsia" w:cs="宋体"/>
                <w:color w:val="auto"/>
                <w:szCs w:val="24"/>
                <w:highlight w:val="none"/>
              </w:rPr>
              <w:t>所有投标人的评标价去掉规定个数的最高值和最低值后的算术平均值即为评标价平均值。</w:t>
            </w:r>
          </w:p>
          <w:p w14:paraId="31301DC3">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a、如果参与评标价平均值计算的投标人数量＜6家时，计算评标价平均值时不去最高值和最低值。 </w:t>
            </w:r>
          </w:p>
          <w:p w14:paraId="70D5FD06">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b、如果6家≤参与评标价平均值计算的投标人数量＜10家时，计算评标价平均值时去掉1个最高值和1个最低值。 </w:t>
            </w:r>
          </w:p>
          <w:p w14:paraId="45080520">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c、如果10家≤参与评标价平均值计算的投标人数量＜20家时，计算评标价平均值时去掉2个最高值和2个最低值； </w:t>
            </w:r>
          </w:p>
          <w:p w14:paraId="4DD3883F">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d、如果20家≤参与评标价平均值计算的投标人数量＜30家时，计算评标价平均值时去掉3个最高值和3个最低值； </w:t>
            </w:r>
          </w:p>
          <w:p w14:paraId="11BB895B">
            <w:pPr>
              <w:pStyle w:val="9"/>
              <w:spacing w:line="240" w:lineRule="auto"/>
              <w:rPr>
                <w:rFonts w:hint="eastAsia" w:cs="宋体"/>
                <w:color w:val="auto"/>
                <w:spacing w:val="-4"/>
                <w:szCs w:val="24"/>
                <w:highlight w:val="none"/>
              </w:rPr>
            </w:pPr>
            <w:r>
              <w:rPr>
                <w:rFonts w:hint="eastAsia" w:cs="宋体"/>
                <w:color w:val="auto"/>
                <w:spacing w:val="-4"/>
                <w:szCs w:val="24"/>
                <w:highlight w:val="none"/>
              </w:rPr>
              <w:t>e、如果30家≤参与评标价平均值计算的投标人数量时，计算评标价平均值时去掉5个最高值和5个最低值；</w:t>
            </w:r>
          </w:p>
          <w:p w14:paraId="472D88A9">
            <w:pPr>
              <w:pStyle w:val="9"/>
              <w:spacing w:line="240" w:lineRule="auto"/>
              <w:rPr>
                <w:rFonts w:hint="eastAsia" w:cs="宋体"/>
                <w:color w:val="auto"/>
                <w:szCs w:val="24"/>
                <w:highlight w:val="none"/>
              </w:rPr>
            </w:pPr>
            <w:r>
              <w:rPr>
                <w:rFonts w:hint="eastAsia" w:cs="宋体"/>
                <w:color w:val="auto"/>
                <w:szCs w:val="24"/>
                <w:highlight w:val="none"/>
              </w:rPr>
              <w:t>3、评标基准价的确定：</w:t>
            </w:r>
          </w:p>
          <w:p w14:paraId="31DF508F">
            <w:pPr>
              <w:pStyle w:val="9"/>
              <w:spacing w:line="240" w:lineRule="auto"/>
              <w:rPr>
                <w:rFonts w:hint="eastAsia" w:cs="宋体"/>
                <w:color w:val="auto"/>
                <w:szCs w:val="24"/>
                <w:highlight w:val="none"/>
              </w:rPr>
            </w:pPr>
            <w:r>
              <w:rPr>
                <w:rFonts w:hint="eastAsia" w:cs="宋体"/>
                <w:color w:val="auto"/>
                <w:szCs w:val="24"/>
                <w:highlight w:val="none"/>
              </w:rPr>
              <w:t>评标价平均值作为评标基准价。</w:t>
            </w:r>
          </w:p>
          <w:p w14:paraId="13953EFF">
            <w:pPr>
              <w:pStyle w:val="9"/>
              <w:spacing w:line="240" w:lineRule="auto"/>
              <w:rPr>
                <w:rFonts w:hint="eastAsia" w:cs="宋体"/>
                <w:color w:val="auto"/>
                <w:szCs w:val="24"/>
                <w:highlight w:val="none"/>
              </w:rPr>
            </w:pPr>
            <w:r>
              <w:rPr>
                <w:rFonts w:hint="eastAsia" w:cs="宋体"/>
                <w:color w:val="auto"/>
                <w:szCs w:val="24"/>
                <w:highlight w:val="none"/>
              </w:rPr>
              <w:t>评标基准价保留小数点后两位，小数点后第三位四舍五入。</w:t>
            </w:r>
          </w:p>
        </w:tc>
      </w:tr>
      <w:tr w14:paraId="513E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7279484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w:t>
            </w:r>
          </w:p>
        </w:tc>
        <w:tc>
          <w:tcPr>
            <w:tcW w:w="1546" w:type="dxa"/>
            <w:vAlign w:val="center"/>
          </w:tcPr>
          <w:p w14:paraId="7EA6ED93">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评标价的偏差率计算公式</w:t>
            </w:r>
          </w:p>
        </w:tc>
        <w:tc>
          <w:tcPr>
            <w:tcW w:w="6968" w:type="dxa"/>
            <w:vAlign w:val="center"/>
          </w:tcPr>
          <w:p w14:paraId="5370082D">
            <w:pPr>
              <w:adjustRightInd w:val="0"/>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偏差率=100%×（投标人评标价-评标基准价）/评标基准价</w:t>
            </w:r>
          </w:p>
        </w:tc>
      </w:tr>
      <w:tr w14:paraId="7DA5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B288F2A">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.1</w:t>
            </w:r>
          </w:p>
        </w:tc>
        <w:tc>
          <w:tcPr>
            <w:tcW w:w="1546" w:type="dxa"/>
            <w:vAlign w:val="center"/>
          </w:tcPr>
          <w:p w14:paraId="206CB6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14:paraId="4E39CDA6">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14:paraId="3715DC1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14:paraId="0180F4C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50ED450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14:paraId="55F5A018">
            <w:pPr>
              <w:autoSpaceDE w:val="0"/>
              <w:autoSpaceDN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64DEAC3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490AA626">
      <w:pPr>
        <w:autoSpaceDE w:val="0"/>
        <w:autoSpaceDN w:val="0"/>
        <w:adjustRightInd w:val="0"/>
        <w:snapToGrid w:val="0"/>
        <w:spacing w:line="360" w:lineRule="auto"/>
        <w:ind w:left="110" w:right="113"/>
        <w:rPr>
          <w:rFonts w:hint="eastAsia" w:ascii="宋体" w:hAnsi="宋体" w:cs="宋体"/>
          <w:color w:val="auto"/>
          <w:szCs w:val="21"/>
          <w:highlight w:val="none"/>
          <w:lang w:eastAsia="zh-CN"/>
        </w:rPr>
      </w:pPr>
    </w:p>
    <w:p w14:paraId="227A2B06">
      <w:pP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14:paraId="3F2D78A6">
      <w:pPr>
        <w:pStyle w:val="14"/>
        <w:rPr>
          <w:rFonts w:hint="eastAsia"/>
          <w:color w:val="auto"/>
          <w:highlight w:val="none"/>
        </w:rPr>
      </w:pPr>
      <w:bookmarkStart w:id="6" w:name="_Toc17733"/>
      <w:r>
        <w:rPr>
          <w:rFonts w:hint="eastAsia"/>
          <w:color w:val="auto"/>
          <w:highlight w:val="none"/>
        </w:rPr>
        <w:t>评分标准</w:t>
      </w:r>
      <w:bookmarkEnd w:id="6"/>
    </w:p>
    <w:p w14:paraId="1550BAE2">
      <w:pPr>
        <w:pStyle w:val="14"/>
        <w:outlineLvl w:val="9"/>
        <w:rPr>
          <w:rFonts w:hint="eastAsia"/>
          <w:color w:val="auto"/>
          <w:highlight w:val="none"/>
        </w:rPr>
      </w:pP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14:paraId="540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14:paraId="54ADB90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14:paraId="1A5ADD0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14:paraId="47888CD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14:paraId="64D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14:paraId="2D0B296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14:paraId="3D43FC2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14:paraId="655CB51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技术部分评分标准</w:t>
            </w:r>
          </w:p>
          <w:p w14:paraId="4FD5C78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14:paraId="4B62F08F">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14:paraId="2773B30F">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14:paraId="1F2CD831">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14:paraId="45CE8A75">
            <w:pPr>
              <w:pStyle w:val="15"/>
              <w:spacing w:before="240" w:after="120"/>
              <w:jc w:val="center"/>
              <w:rPr>
                <w:rFonts w:hint="eastAsia" w:cs="宋体"/>
                <w:bCs/>
                <w:color w:val="auto"/>
                <w:highlight w:val="none"/>
              </w:rPr>
            </w:pPr>
            <w:r>
              <w:rPr>
                <w:rFonts w:hint="eastAsia" w:cs="宋体"/>
                <w:bCs/>
                <w:color w:val="auto"/>
                <w:highlight w:val="none"/>
              </w:rPr>
              <w:t>20.0-25.0</w:t>
            </w:r>
          </w:p>
        </w:tc>
      </w:tr>
      <w:tr w14:paraId="0677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C489DD">
            <w:pPr>
              <w:jc w:val="center"/>
              <w:rPr>
                <w:rFonts w:hint="eastAsia" w:ascii="宋体" w:hAnsi="宋体" w:eastAsia="宋体" w:cs="宋体"/>
                <w:bCs/>
                <w:color w:val="auto"/>
                <w:sz w:val="24"/>
                <w:szCs w:val="24"/>
                <w:highlight w:val="none"/>
              </w:rPr>
            </w:pPr>
          </w:p>
        </w:tc>
        <w:tc>
          <w:tcPr>
            <w:tcW w:w="834" w:type="dxa"/>
            <w:vMerge w:val="continue"/>
            <w:vAlign w:val="center"/>
          </w:tcPr>
          <w:p w14:paraId="75E6B156">
            <w:pPr>
              <w:jc w:val="center"/>
              <w:rPr>
                <w:rFonts w:hint="eastAsia" w:ascii="宋体" w:hAnsi="宋体" w:eastAsia="宋体" w:cs="宋体"/>
                <w:bCs/>
                <w:color w:val="auto"/>
                <w:sz w:val="24"/>
                <w:szCs w:val="24"/>
                <w:highlight w:val="none"/>
              </w:rPr>
            </w:pPr>
          </w:p>
        </w:tc>
        <w:tc>
          <w:tcPr>
            <w:tcW w:w="1199" w:type="dxa"/>
            <w:vMerge w:val="continue"/>
            <w:vAlign w:val="center"/>
          </w:tcPr>
          <w:p w14:paraId="1E6515A0">
            <w:pPr>
              <w:jc w:val="center"/>
              <w:rPr>
                <w:rFonts w:hint="eastAsia" w:ascii="宋体" w:hAnsi="宋体" w:eastAsia="宋体" w:cs="宋体"/>
                <w:bCs/>
                <w:color w:val="auto"/>
                <w:sz w:val="24"/>
                <w:szCs w:val="24"/>
                <w:highlight w:val="none"/>
              </w:rPr>
            </w:pPr>
          </w:p>
        </w:tc>
        <w:tc>
          <w:tcPr>
            <w:tcW w:w="1587" w:type="dxa"/>
            <w:vMerge w:val="continue"/>
            <w:vAlign w:val="center"/>
          </w:tcPr>
          <w:p w14:paraId="439929A6">
            <w:pPr>
              <w:jc w:val="center"/>
              <w:rPr>
                <w:rFonts w:hint="eastAsia" w:ascii="宋体" w:hAnsi="宋体" w:eastAsia="宋体" w:cs="宋体"/>
                <w:bCs/>
                <w:color w:val="auto"/>
                <w:sz w:val="24"/>
                <w:szCs w:val="24"/>
                <w:highlight w:val="none"/>
              </w:rPr>
            </w:pPr>
          </w:p>
        </w:tc>
        <w:tc>
          <w:tcPr>
            <w:tcW w:w="3907" w:type="dxa"/>
            <w:vAlign w:val="center"/>
          </w:tcPr>
          <w:p w14:paraId="706B5DB6">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14:paraId="10A1B9B2">
            <w:pPr>
              <w:pStyle w:val="15"/>
              <w:spacing w:before="240" w:after="120"/>
              <w:jc w:val="center"/>
              <w:rPr>
                <w:rFonts w:hint="eastAsia" w:cs="宋体"/>
                <w:bCs/>
                <w:color w:val="auto"/>
                <w:highlight w:val="none"/>
              </w:rPr>
            </w:pPr>
            <w:r>
              <w:rPr>
                <w:rFonts w:hint="eastAsia" w:cs="宋体"/>
                <w:bCs/>
                <w:color w:val="auto"/>
                <w:highlight w:val="none"/>
              </w:rPr>
              <w:t>15.0-20.0</w:t>
            </w:r>
          </w:p>
        </w:tc>
      </w:tr>
      <w:tr w14:paraId="2CE1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02627F4B">
            <w:pPr>
              <w:jc w:val="center"/>
              <w:rPr>
                <w:rFonts w:hint="eastAsia" w:ascii="宋体" w:hAnsi="宋体" w:eastAsia="宋体" w:cs="宋体"/>
                <w:bCs/>
                <w:color w:val="auto"/>
                <w:sz w:val="24"/>
                <w:szCs w:val="24"/>
                <w:highlight w:val="none"/>
              </w:rPr>
            </w:pPr>
          </w:p>
        </w:tc>
        <w:tc>
          <w:tcPr>
            <w:tcW w:w="834" w:type="dxa"/>
            <w:vMerge w:val="continue"/>
            <w:vAlign w:val="center"/>
          </w:tcPr>
          <w:p w14:paraId="53706CC8">
            <w:pPr>
              <w:jc w:val="center"/>
              <w:rPr>
                <w:rFonts w:hint="eastAsia" w:ascii="宋体" w:hAnsi="宋体" w:eastAsia="宋体" w:cs="宋体"/>
                <w:bCs/>
                <w:color w:val="auto"/>
                <w:sz w:val="24"/>
                <w:szCs w:val="24"/>
                <w:highlight w:val="none"/>
              </w:rPr>
            </w:pPr>
          </w:p>
        </w:tc>
        <w:tc>
          <w:tcPr>
            <w:tcW w:w="1199" w:type="dxa"/>
            <w:vMerge w:val="continue"/>
            <w:vAlign w:val="center"/>
          </w:tcPr>
          <w:p w14:paraId="166E7858">
            <w:pPr>
              <w:jc w:val="center"/>
              <w:rPr>
                <w:rFonts w:hint="eastAsia" w:ascii="宋体" w:hAnsi="宋体" w:eastAsia="宋体" w:cs="宋体"/>
                <w:bCs/>
                <w:color w:val="auto"/>
                <w:sz w:val="24"/>
                <w:szCs w:val="24"/>
                <w:highlight w:val="none"/>
              </w:rPr>
            </w:pPr>
          </w:p>
        </w:tc>
        <w:tc>
          <w:tcPr>
            <w:tcW w:w="1587" w:type="dxa"/>
            <w:vMerge w:val="continue"/>
            <w:vAlign w:val="center"/>
          </w:tcPr>
          <w:p w14:paraId="3704A80C">
            <w:pPr>
              <w:jc w:val="center"/>
              <w:rPr>
                <w:rFonts w:hint="eastAsia" w:ascii="宋体" w:hAnsi="宋体" w:eastAsia="宋体" w:cs="宋体"/>
                <w:bCs/>
                <w:color w:val="auto"/>
                <w:sz w:val="24"/>
                <w:szCs w:val="24"/>
                <w:highlight w:val="none"/>
              </w:rPr>
            </w:pPr>
          </w:p>
        </w:tc>
        <w:tc>
          <w:tcPr>
            <w:tcW w:w="3907" w:type="dxa"/>
            <w:vAlign w:val="center"/>
          </w:tcPr>
          <w:p w14:paraId="1F5B7BE5">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14:paraId="04178F76">
            <w:pPr>
              <w:pStyle w:val="15"/>
              <w:spacing w:before="240" w:after="120"/>
              <w:jc w:val="center"/>
              <w:rPr>
                <w:rFonts w:hint="eastAsia" w:cs="宋体"/>
                <w:bCs/>
                <w:color w:val="auto"/>
                <w:highlight w:val="none"/>
              </w:rPr>
            </w:pPr>
            <w:r>
              <w:rPr>
                <w:rFonts w:hint="eastAsia" w:cs="宋体"/>
                <w:bCs/>
                <w:color w:val="auto"/>
                <w:highlight w:val="none"/>
              </w:rPr>
              <w:t>15.0</w:t>
            </w:r>
          </w:p>
        </w:tc>
      </w:tr>
      <w:tr w14:paraId="1C2F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EF3E755">
            <w:pPr>
              <w:jc w:val="center"/>
              <w:rPr>
                <w:rFonts w:hint="eastAsia" w:ascii="宋体" w:hAnsi="宋体" w:eastAsia="宋体" w:cs="宋体"/>
                <w:bCs/>
                <w:color w:val="auto"/>
                <w:sz w:val="24"/>
                <w:szCs w:val="24"/>
                <w:highlight w:val="none"/>
              </w:rPr>
            </w:pPr>
          </w:p>
        </w:tc>
        <w:tc>
          <w:tcPr>
            <w:tcW w:w="834" w:type="dxa"/>
            <w:vMerge w:val="continue"/>
            <w:vAlign w:val="center"/>
          </w:tcPr>
          <w:p w14:paraId="144F8CA5">
            <w:pPr>
              <w:jc w:val="center"/>
              <w:rPr>
                <w:rFonts w:hint="eastAsia" w:ascii="宋体" w:hAnsi="宋体" w:eastAsia="宋体" w:cs="宋体"/>
                <w:bCs/>
                <w:color w:val="auto"/>
                <w:sz w:val="24"/>
                <w:szCs w:val="24"/>
                <w:highlight w:val="none"/>
              </w:rPr>
            </w:pPr>
          </w:p>
        </w:tc>
        <w:tc>
          <w:tcPr>
            <w:tcW w:w="1199" w:type="dxa"/>
            <w:vMerge w:val="continue"/>
            <w:vAlign w:val="center"/>
          </w:tcPr>
          <w:p w14:paraId="3D85ECB3">
            <w:pPr>
              <w:jc w:val="center"/>
              <w:rPr>
                <w:rFonts w:hint="eastAsia" w:ascii="宋体" w:hAnsi="宋体" w:eastAsia="宋体" w:cs="宋体"/>
                <w:bCs/>
                <w:color w:val="auto"/>
                <w:sz w:val="24"/>
                <w:szCs w:val="24"/>
                <w:highlight w:val="none"/>
              </w:rPr>
            </w:pPr>
          </w:p>
        </w:tc>
        <w:tc>
          <w:tcPr>
            <w:tcW w:w="1587" w:type="dxa"/>
            <w:vMerge w:val="restart"/>
            <w:vAlign w:val="center"/>
          </w:tcPr>
          <w:p w14:paraId="73A6C739">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14:paraId="4BDADC3E">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14:paraId="5720E28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14:paraId="1758392D">
            <w:pPr>
              <w:pStyle w:val="15"/>
              <w:spacing w:before="240" w:after="120"/>
              <w:jc w:val="center"/>
              <w:rPr>
                <w:rFonts w:hint="eastAsia" w:cs="宋体"/>
                <w:bCs/>
                <w:color w:val="auto"/>
                <w:highlight w:val="none"/>
              </w:rPr>
            </w:pPr>
            <w:r>
              <w:rPr>
                <w:rFonts w:hint="eastAsia" w:cs="宋体"/>
                <w:bCs/>
                <w:color w:val="auto"/>
                <w:highlight w:val="none"/>
              </w:rPr>
              <w:t>12.0-15.0</w:t>
            </w:r>
          </w:p>
        </w:tc>
      </w:tr>
      <w:tr w14:paraId="7D65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33302D4E">
            <w:pPr>
              <w:jc w:val="center"/>
              <w:rPr>
                <w:rFonts w:hint="eastAsia" w:ascii="宋体" w:hAnsi="宋体" w:eastAsia="宋体" w:cs="宋体"/>
                <w:bCs/>
                <w:color w:val="auto"/>
                <w:sz w:val="24"/>
                <w:szCs w:val="24"/>
                <w:highlight w:val="none"/>
              </w:rPr>
            </w:pPr>
          </w:p>
        </w:tc>
        <w:tc>
          <w:tcPr>
            <w:tcW w:w="834" w:type="dxa"/>
            <w:vMerge w:val="continue"/>
            <w:vAlign w:val="center"/>
          </w:tcPr>
          <w:p w14:paraId="7C15BA1E">
            <w:pPr>
              <w:jc w:val="center"/>
              <w:rPr>
                <w:rFonts w:hint="eastAsia" w:ascii="宋体" w:hAnsi="宋体" w:eastAsia="宋体" w:cs="宋体"/>
                <w:bCs/>
                <w:color w:val="auto"/>
                <w:sz w:val="24"/>
                <w:szCs w:val="24"/>
                <w:highlight w:val="none"/>
              </w:rPr>
            </w:pPr>
          </w:p>
        </w:tc>
        <w:tc>
          <w:tcPr>
            <w:tcW w:w="1199" w:type="dxa"/>
            <w:vMerge w:val="continue"/>
            <w:vAlign w:val="center"/>
          </w:tcPr>
          <w:p w14:paraId="7DC01AD2">
            <w:pPr>
              <w:jc w:val="center"/>
              <w:rPr>
                <w:rFonts w:hint="eastAsia" w:ascii="宋体" w:hAnsi="宋体" w:eastAsia="宋体" w:cs="宋体"/>
                <w:bCs/>
                <w:color w:val="auto"/>
                <w:sz w:val="24"/>
                <w:szCs w:val="24"/>
                <w:highlight w:val="none"/>
              </w:rPr>
            </w:pPr>
          </w:p>
        </w:tc>
        <w:tc>
          <w:tcPr>
            <w:tcW w:w="1587" w:type="dxa"/>
            <w:vMerge w:val="continue"/>
            <w:vAlign w:val="center"/>
          </w:tcPr>
          <w:p w14:paraId="7A4204C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6B2D2F33">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14:paraId="4F9D1F21">
            <w:pPr>
              <w:pStyle w:val="15"/>
              <w:spacing w:before="240" w:after="120"/>
              <w:jc w:val="center"/>
              <w:rPr>
                <w:rFonts w:hint="eastAsia" w:cs="宋体"/>
                <w:bCs/>
                <w:color w:val="auto"/>
                <w:highlight w:val="none"/>
              </w:rPr>
            </w:pPr>
            <w:r>
              <w:rPr>
                <w:rFonts w:hint="eastAsia" w:cs="宋体"/>
                <w:bCs/>
                <w:color w:val="auto"/>
                <w:highlight w:val="none"/>
              </w:rPr>
              <w:t>9.0-12.0</w:t>
            </w:r>
          </w:p>
        </w:tc>
      </w:tr>
      <w:tr w14:paraId="2FD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276C96F">
            <w:pPr>
              <w:jc w:val="center"/>
              <w:rPr>
                <w:rFonts w:hint="eastAsia" w:ascii="宋体" w:hAnsi="宋体" w:eastAsia="宋体" w:cs="宋体"/>
                <w:bCs/>
                <w:color w:val="auto"/>
                <w:sz w:val="24"/>
                <w:szCs w:val="24"/>
                <w:highlight w:val="none"/>
              </w:rPr>
            </w:pPr>
          </w:p>
        </w:tc>
        <w:tc>
          <w:tcPr>
            <w:tcW w:w="834" w:type="dxa"/>
            <w:vMerge w:val="continue"/>
            <w:vAlign w:val="center"/>
          </w:tcPr>
          <w:p w14:paraId="5625E7BC">
            <w:pPr>
              <w:jc w:val="center"/>
              <w:rPr>
                <w:rFonts w:hint="eastAsia" w:ascii="宋体" w:hAnsi="宋体" w:eastAsia="宋体" w:cs="宋体"/>
                <w:bCs/>
                <w:color w:val="auto"/>
                <w:sz w:val="24"/>
                <w:szCs w:val="24"/>
                <w:highlight w:val="none"/>
              </w:rPr>
            </w:pPr>
          </w:p>
        </w:tc>
        <w:tc>
          <w:tcPr>
            <w:tcW w:w="1199" w:type="dxa"/>
            <w:vMerge w:val="continue"/>
            <w:vAlign w:val="center"/>
          </w:tcPr>
          <w:p w14:paraId="259CC7B2">
            <w:pPr>
              <w:jc w:val="center"/>
              <w:rPr>
                <w:rFonts w:hint="eastAsia" w:ascii="宋体" w:hAnsi="宋体" w:eastAsia="宋体" w:cs="宋体"/>
                <w:bCs/>
                <w:color w:val="auto"/>
                <w:sz w:val="24"/>
                <w:szCs w:val="24"/>
                <w:highlight w:val="none"/>
              </w:rPr>
            </w:pPr>
          </w:p>
        </w:tc>
        <w:tc>
          <w:tcPr>
            <w:tcW w:w="1587" w:type="dxa"/>
            <w:vMerge w:val="continue"/>
            <w:vAlign w:val="center"/>
          </w:tcPr>
          <w:p w14:paraId="1DC51A1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3B7BE53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14:paraId="69D21E86">
            <w:pPr>
              <w:pStyle w:val="15"/>
              <w:spacing w:before="240" w:after="120"/>
              <w:jc w:val="center"/>
              <w:rPr>
                <w:rFonts w:hint="eastAsia" w:cs="宋体"/>
                <w:bCs/>
                <w:color w:val="auto"/>
                <w:highlight w:val="none"/>
              </w:rPr>
            </w:pPr>
            <w:r>
              <w:rPr>
                <w:rFonts w:hint="eastAsia" w:cs="宋体"/>
                <w:bCs/>
                <w:color w:val="auto"/>
                <w:highlight w:val="none"/>
              </w:rPr>
              <w:t>9.0</w:t>
            </w:r>
          </w:p>
        </w:tc>
      </w:tr>
      <w:tr w14:paraId="4A2C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D827851">
            <w:pPr>
              <w:jc w:val="center"/>
              <w:rPr>
                <w:rFonts w:hint="eastAsia" w:ascii="宋体" w:hAnsi="宋体" w:eastAsia="宋体" w:cs="宋体"/>
                <w:bCs/>
                <w:color w:val="auto"/>
                <w:sz w:val="24"/>
                <w:szCs w:val="24"/>
                <w:highlight w:val="none"/>
              </w:rPr>
            </w:pPr>
          </w:p>
        </w:tc>
        <w:tc>
          <w:tcPr>
            <w:tcW w:w="834" w:type="dxa"/>
            <w:vMerge w:val="continue"/>
            <w:vAlign w:val="center"/>
          </w:tcPr>
          <w:p w14:paraId="564ACC40">
            <w:pPr>
              <w:jc w:val="center"/>
              <w:rPr>
                <w:rFonts w:hint="eastAsia" w:ascii="宋体" w:hAnsi="宋体" w:eastAsia="宋体" w:cs="宋体"/>
                <w:bCs/>
                <w:color w:val="auto"/>
                <w:sz w:val="24"/>
                <w:szCs w:val="24"/>
                <w:highlight w:val="none"/>
              </w:rPr>
            </w:pPr>
          </w:p>
        </w:tc>
        <w:tc>
          <w:tcPr>
            <w:tcW w:w="1199" w:type="dxa"/>
            <w:vMerge w:val="continue"/>
            <w:vAlign w:val="center"/>
          </w:tcPr>
          <w:p w14:paraId="2700E704">
            <w:pPr>
              <w:jc w:val="center"/>
              <w:rPr>
                <w:rFonts w:hint="eastAsia" w:ascii="宋体" w:hAnsi="宋体" w:eastAsia="宋体" w:cs="宋体"/>
                <w:bCs/>
                <w:color w:val="auto"/>
                <w:sz w:val="24"/>
                <w:szCs w:val="24"/>
                <w:highlight w:val="none"/>
              </w:rPr>
            </w:pPr>
          </w:p>
        </w:tc>
        <w:tc>
          <w:tcPr>
            <w:tcW w:w="1587" w:type="dxa"/>
            <w:vMerge w:val="restart"/>
            <w:vAlign w:val="center"/>
          </w:tcPr>
          <w:p w14:paraId="79C8070D">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14:paraId="6A4BEFF5">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14:paraId="20A3A21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14:paraId="6D986C37">
            <w:pPr>
              <w:pStyle w:val="15"/>
              <w:spacing w:before="240" w:after="120"/>
              <w:jc w:val="center"/>
              <w:rPr>
                <w:rFonts w:hint="eastAsia" w:cs="宋体"/>
                <w:bCs/>
                <w:color w:val="auto"/>
                <w:highlight w:val="none"/>
              </w:rPr>
            </w:pPr>
            <w:r>
              <w:rPr>
                <w:rFonts w:hint="eastAsia" w:cs="宋体"/>
                <w:bCs/>
                <w:color w:val="auto"/>
                <w:highlight w:val="none"/>
              </w:rPr>
              <w:t>8.0-10.0</w:t>
            </w:r>
          </w:p>
        </w:tc>
      </w:tr>
      <w:tr w14:paraId="4C75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6E4E1A9">
            <w:pPr>
              <w:jc w:val="center"/>
              <w:rPr>
                <w:rFonts w:hint="eastAsia" w:ascii="宋体" w:hAnsi="宋体" w:eastAsia="宋体" w:cs="宋体"/>
                <w:bCs/>
                <w:color w:val="auto"/>
                <w:sz w:val="24"/>
                <w:szCs w:val="24"/>
                <w:highlight w:val="none"/>
              </w:rPr>
            </w:pPr>
          </w:p>
        </w:tc>
        <w:tc>
          <w:tcPr>
            <w:tcW w:w="834" w:type="dxa"/>
            <w:vMerge w:val="continue"/>
            <w:vAlign w:val="center"/>
          </w:tcPr>
          <w:p w14:paraId="5AB4CFE0">
            <w:pPr>
              <w:jc w:val="center"/>
              <w:rPr>
                <w:rFonts w:hint="eastAsia" w:ascii="宋体" w:hAnsi="宋体" w:eastAsia="宋体" w:cs="宋体"/>
                <w:bCs/>
                <w:color w:val="auto"/>
                <w:sz w:val="24"/>
                <w:szCs w:val="24"/>
                <w:highlight w:val="none"/>
              </w:rPr>
            </w:pPr>
          </w:p>
        </w:tc>
        <w:tc>
          <w:tcPr>
            <w:tcW w:w="1199" w:type="dxa"/>
            <w:vMerge w:val="continue"/>
            <w:vAlign w:val="center"/>
          </w:tcPr>
          <w:p w14:paraId="3C41215E">
            <w:pPr>
              <w:jc w:val="center"/>
              <w:rPr>
                <w:rFonts w:hint="eastAsia" w:ascii="宋体" w:hAnsi="宋体" w:eastAsia="宋体" w:cs="宋体"/>
                <w:bCs/>
                <w:color w:val="auto"/>
                <w:sz w:val="24"/>
                <w:szCs w:val="24"/>
                <w:highlight w:val="none"/>
              </w:rPr>
            </w:pPr>
          </w:p>
        </w:tc>
        <w:tc>
          <w:tcPr>
            <w:tcW w:w="1587" w:type="dxa"/>
            <w:vMerge w:val="continue"/>
            <w:vAlign w:val="center"/>
          </w:tcPr>
          <w:p w14:paraId="167941D5">
            <w:pPr>
              <w:jc w:val="center"/>
              <w:rPr>
                <w:rFonts w:hint="eastAsia" w:ascii="宋体" w:hAnsi="宋体" w:eastAsia="宋体" w:cs="宋体"/>
                <w:bCs/>
                <w:color w:val="auto"/>
                <w:sz w:val="24"/>
                <w:szCs w:val="24"/>
                <w:highlight w:val="none"/>
              </w:rPr>
            </w:pPr>
          </w:p>
        </w:tc>
        <w:tc>
          <w:tcPr>
            <w:tcW w:w="3907" w:type="dxa"/>
            <w:vAlign w:val="center"/>
          </w:tcPr>
          <w:p w14:paraId="43776036">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14:paraId="4C92421B">
            <w:pPr>
              <w:pStyle w:val="15"/>
              <w:spacing w:before="240" w:after="120"/>
              <w:jc w:val="center"/>
              <w:rPr>
                <w:rFonts w:hint="eastAsia" w:cs="宋体"/>
                <w:bCs/>
                <w:color w:val="auto"/>
                <w:highlight w:val="none"/>
              </w:rPr>
            </w:pPr>
            <w:r>
              <w:rPr>
                <w:rFonts w:hint="eastAsia" w:cs="宋体"/>
                <w:bCs/>
                <w:color w:val="auto"/>
                <w:highlight w:val="none"/>
              </w:rPr>
              <w:t>6.0-8.0</w:t>
            </w:r>
          </w:p>
        </w:tc>
      </w:tr>
      <w:tr w14:paraId="4456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657273AA">
            <w:pPr>
              <w:jc w:val="center"/>
              <w:rPr>
                <w:rFonts w:hint="eastAsia" w:ascii="宋体" w:hAnsi="宋体" w:eastAsia="宋体" w:cs="宋体"/>
                <w:bCs/>
                <w:color w:val="auto"/>
                <w:sz w:val="24"/>
                <w:szCs w:val="24"/>
                <w:highlight w:val="none"/>
              </w:rPr>
            </w:pPr>
          </w:p>
        </w:tc>
        <w:tc>
          <w:tcPr>
            <w:tcW w:w="834" w:type="dxa"/>
            <w:vMerge w:val="continue"/>
            <w:vAlign w:val="center"/>
          </w:tcPr>
          <w:p w14:paraId="57116AC9">
            <w:pPr>
              <w:jc w:val="center"/>
              <w:rPr>
                <w:rFonts w:hint="eastAsia" w:ascii="宋体" w:hAnsi="宋体" w:eastAsia="宋体" w:cs="宋体"/>
                <w:bCs/>
                <w:color w:val="auto"/>
                <w:sz w:val="24"/>
                <w:szCs w:val="24"/>
                <w:highlight w:val="none"/>
              </w:rPr>
            </w:pPr>
          </w:p>
        </w:tc>
        <w:tc>
          <w:tcPr>
            <w:tcW w:w="1199" w:type="dxa"/>
            <w:vMerge w:val="continue"/>
            <w:vAlign w:val="center"/>
          </w:tcPr>
          <w:p w14:paraId="64B3F93E">
            <w:pPr>
              <w:jc w:val="center"/>
              <w:rPr>
                <w:rFonts w:hint="eastAsia" w:ascii="宋体" w:hAnsi="宋体" w:eastAsia="宋体" w:cs="宋体"/>
                <w:bCs/>
                <w:color w:val="auto"/>
                <w:sz w:val="24"/>
                <w:szCs w:val="24"/>
                <w:highlight w:val="none"/>
              </w:rPr>
            </w:pPr>
          </w:p>
        </w:tc>
        <w:tc>
          <w:tcPr>
            <w:tcW w:w="1587" w:type="dxa"/>
            <w:vMerge w:val="continue"/>
            <w:vAlign w:val="center"/>
          </w:tcPr>
          <w:p w14:paraId="2AAB236C">
            <w:pPr>
              <w:jc w:val="center"/>
              <w:rPr>
                <w:rFonts w:hint="eastAsia" w:ascii="宋体" w:hAnsi="宋体" w:eastAsia="宋体" w:cs="宋体"/>
                <w:bCs/>
                <w:color w:val="auto"/>
                <w:sz w:val="24"/>
                <w:szCs w:val="24"/>
                <w:highlight w:val="none"/>
              </w:rPr>
            </w:pPr>
          </w:p>
        </w:tc>
        <w:tc>
          <w:tcPr>
            <w:tcW w:w="3907" w:type="dxa"/>
            <w:vAlign w:val="center"/>
          </w:tcPr>
          <w:p w14:paraId="36701CED">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14:paraId="22DFEF01">
            <w:pPr>
              <w:pStyle w:val="15"/>
              <w:spacing w:before="240" w:after="120"/>
              <w:jc w:val="center"/>
              <w:rPr>
                <w:rFonts w:hint="eastAsia" w:cs="宋体"/>
                <w:bCs/>
                <w:color w:val="auto"/>
                <w:highlight w:val="none"/>
              </w:rPr>
            </w:pPr>
            <w:r>
              <w:rPr>
                <w:rFonts w:hint="eastAsia" w:cs="宋体"/>
                <w:bCs/>
                <w:color w:val="auto"/>
                <w:highlight w:val="none"/>
              </w:rPr>
              <w:t>6.0</w:t>
            </w:r>
          </w:p>
        </w:tc>
      </w:tr>
      <w:tr w14:paraId="68C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C48E3D8">
            <w:pPr>
              <w:jc w:val="center"/>
              <w:rPr>
                <w:rFonts w:hint="eastAsia" w:ascii="宋体" w:hAnsi="宋体" w:eastAsia="宋体" w:cs="宋体"/>
                <w:bCs/>
                <w:color w:val="auto"/>
                <w:sz w:val="24"/>
                <w:szCs w:val="24"/>
                <w:highlight w:val="none"/>
              </w:rPr>
            </w:pPr>
          </w:p>
        </w:tc>
        <w:tc>
          <w:tcPr>
            <w:tcW w:w="834" w:type="dxa"/>
            <w:vMerge w:val="continue"/>
            <w:vAlign w:val="center"/>
          </w:tcPr>
          <w:p w14:paraId="74B59697">
            <w:pPr>
              <w:jc w:val="center"/>
              <w:rPr>
                <w:rFonts w:hint="eastAsia" w:ascii="宋体" w:hAnsi="宋体" w:eastAsia="宋体" w:cs="宋体"/>
                <w:bCs/>
                <w:color w:val="auto"/>
                <w:sz w:val="24"/>
                <w:szCs w:val="24"/>
                <w:highlight w:val="none"/>
              </w:rPr>
            </w:pPr>
          </w:p>
        </w:tc>
        <w:tc>
          <w:tcPr>
            <w:tcW w:w="1199" w:type="dxa"/>
            <w:vMerge w:val="continue"/>
            <w:vAlign w:val="center"/>
          </w:tcPr>
          <w:p w14:paraId="7E7153C1">
            <w:pPr>
              <w:jc w:val="center"/>
              <w:rPr>
                <w:rFonts w:hint="eastAsia" w:ascii="宋体" w:hAnsi="宋体" w:eastAsia="宋体" w:cs="宋体"/>
                <w:bCs/>
                <w:color w:val="auto"/>
                <w:sz w:val="24"/>
                <w:szCs w:val="24"/>
                <w:highlight w:val="none"/>
              </w:rPr>
            </w:pPr>
          </w:p>
        </w:tc>
        <w:tc>
          <w:tcPr>
            <w:tcW w:w="1587" w:type="dxa"/>
            <w:vMerge w:val="restart"/>
            <w:vAlign w:val="center"/>
          </w:tcPr>
          <w:p w14:paraId="3FBA7408">
            <w:pPr>
              <w:wordWrap w:val="0"/>
              <w:adjustRightInd w:val="0"/>
              <w:snapToGrid w:val="0"/>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14:paraId="0C3A0B97">
            <w:pPr>
              <w:wordWrap w:val="0"/>
              <w:adjustRightInd w:val="0"/>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14:paraId="38E1F6F9">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14:paraId="00EA63C7">
            <w:pPr>
              <w:pStyle w:val="15"/>
              <w:spacing w:before="240" w:after="120"/>
              <w:jc w:val="center"/>
              <w:rPr>
                <w:rFonts w:hint="eastAsia" w:cs="宋体"/>
                <w:bCs/>
                <w:color w:val="auto"/>
                <w:highlight w:val="none"/>
              </w:rPr>
            </w:pPr>
            <w:r>
              <w:rPr>
                <w:rFonts w:hint="eastAsia" w:cs="宋体"/>
                <w:bCs/>
                <w:color w:val="auto"/>
                <w:highlight w:val="none"/>
              </w:rPr>
              <w:t>8.0-10.0</w:t>
            </w:r>
          </w:p>
        </w:tc>
      </w:tr>
      <w:tr w14:paraId="10F3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F2E401">
            <w:pPr>
              <w:jc w:val="center"/>
              <w:rPr>
                <w:rFonts w:hint="eastAsia" w:ascii="宋体" w:hAnsi="宋体" w:eastAsia="宋体" w:cs="宋体"/>
                <w:bCs/>
                <w:color w:val="auto"/>
                <w:sz w:val="24"/>
                <w:szCs w:val="24"/>
                <w:highlight w:val="none"/>
              </w:rPr>
            </w:pPr>
          </w:p>
        </w:tc>
        <w:tc>
          <w:tcPr>
            <w:tcW w:w="834" w:type="dxa"/>
            <w:vMerge w:val="continue"/>
            <w:vAlign w:val="center"/>
          </w:tcPr>
          <w:p w14:paraId="1E7C3AAD">
            <w:pPr>
              <w:jc w:val="center"/>
              <w:rPr>
                <w:rFonts w:hint="eastAsia" w:ascii="宋体" w:hAnsi="宋体" w:eastAsia="宋体" w:cs="宋体"/>
                <w:bCs/>
                <w:color w:val="auto"/>
                <w:sz w:val="24"/>
                <w:szCs w:val="24"/>
                <w:highlight w:val="none"/>
              </w:rPr>
            </w:pPr>
          </w:p>
        </w:tc>
        <w:tc>
          <w:tcPr>
            <w:tcW w:w="1199" w:type="dxa"/>
            <w:vMerge w:val="continue"/>
            <w:vAlign w:val="center"/>
          </w:tcPr>
          <w:p w14:paraId="6331BC36">
            <w:pPr>
              <w:jc w:val="center"/>
              <w:rPr>
                <w:rFonts w:hint="eastAsia" w:ascii="宋体" w:hAnsi="宋体" w:eastAsia="宋体" w:cs="宋体"/>
                <w:bCs/>
                <w:color w:val="auto"/>
                <w:sz w:val="24"/>
                <w:szCs w:val="24"/>
                <w:highlight w:val="none"/>
              </w:rPr>
            </w:pPr>
          </w:p>
        </w:tc>
        <w:tc>
          <w:tcPr>
            <w:tcW w:w="1587" w:type="dxa"/>
            <w:vMerge w:val="continue"/>
            <w:vAlign w:val="center"/>
          </w:tcPr>
          <w:p w14:paraId="2BD6D958">
            <w:pPr>
              <w:jc w:val="center"/>
              <w:rPr>
                <w:rFonts w:hint="eastAsia" w:ascii="宋体" w:hAnsi="宋体" w:eastAsia="宋体" w:cs="宋体"/>
                <w:bCs/>
                <w:color w:val="auto"/>
                <w:sz w:val="24"/>
                <w:szCs w:val="24"/>
                <w:highlight w:val="none"/>
              </w:rPr>
            </w:pPr>
          </w:p>
        </w:tc>
        <w:tc>
          <w:tcPr>
            <w:tcW w:w="3907" w:type="dxa"/>
            <w:vAlign w:val="center"/>
          </w:tcPr>
          <w:p w14:paraId="783EF3C0">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14:paraId="337BBC7D">
            <w:pPr>
              <w:pStyle w:val="15"/>
              <w:spacing w:before="240" w:after="120"/>
              <w:jc w:val="center"/>
              <w:rPr>
                <w:rFonts w:hint="eastAsia" w:cs="宋体"/>
                <w:bCs/>
                <w:color w:val="auto"/>
                <w:highlight w:val="none"/>
              </w:rPr>
            </w:pPr>
            <w:r>
              <w:rPr>
                <w:rFonts w:hint="eastAsia" w:cs="宋体"/>
                <w:bCs/>
                <w:color w:val="auto"/>
                <w:highlight w:val="none"/>
              </w:rPr>
              <w:t>6.0-8.0</w:t>
            </w:r>
          </w:p>
        </w:tc>
      </w:tr>
      <w:tr w14:paraId="1BE4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1FD69862">
            <w:pPr>
              <w:jc w:val="center"/>
              <w:rPr>
                <w:rFonts w:hint="eastAsia" w:ascii="宋体" w:hAnsi="宋体" w:eastAsia="宋体" w:cs="宋体"/>
                <w:bCs/>
                <w:color w:val="auto"/>
                <w:sz w:val="24"/>
                <w:szCs w:val="24"/>
                <w:highlight w:val="none"/>
              </w:rPr>
            </w:pPr>
          </w:p>
        </w:tc>
        <w:tc>
          <w:tcPr>
            <w:tcW w:w="834" w:type="dxa"/>
            <w:vMerge w:val="continue"/>
            <w:vAlign w:val="center"/>
          </w:tcPr>
          <w:p w14:paraId="11B89000">
            <w:pPr>
              <w:jc w:val="center"/>
              <w:rPr>
                <w:rFonts w:hint="eastAsia" w:ascii="宋体" w:hAnsi="宋体" w:eastAsia="宋体" w:cs="宋体"/>
                <w:bCs/>
                <w:color w:val="auto"/>
                <w:sz w:val="24"/>
                <w:szCs w:val="24"/>
                <w:highlight w:val="none"/>
              </w:rPr>
            </w:pPr>
          </w:p>
        </w:tc>
        <w:tc>
          <w:tcPr>
            <w:tcW w:w="1199" w:type="dxa"/>
            <w:vMerge w:val="continue"/>
            <w:vAlign w:val="center"/>
          </w:tcPr>
          <w:p w14:paraId="451777F2">
            <w:pPr>
              <w:jc w:val="center"/>
              <w:rPr>
                <w:rFonts w:hint="eastAsia" w:ascii="宋体" w:hAnsi="宋体" w:eastAsia="宋体" w:cs="宋体"/>
                <w:bCs/>
                <w:color w:val="auto"/>
                <w:sz w:val="24"/>
                <w:szCs w:val="24"/>
                <w:highlight w:val="none"/>
              </w:rPr>
            </w:pPr>
          </w:p>
        </w:tc>
        <w:tc>
          <w:tcPr>
            <w:tcW w:w="1587" w:type="dxa"/>
            <w:vMerge w:val="continue"/>
            <w:vAlign w:val="center"/>
          </w:tcPr>
          <w:p w14:paraId="57C28902">
            <w:pPr>
              <w:jc w:val="center"/>
              <w:rPr>
                <w:rFonts w:hint="eastAsia" w:ascii="宋体" w:hAnsi="宋体" w:eastAsia="宋体" w:cs="宋体"/>
                <w:bCs/>
                <w:color w:val="auto"/>
                <w:sz w:val="24"/>
                <w:szCs w:val="24"/>
                <w:highlight w:val="none"/>
              </w:rPr>
            </w:pPr>
          </w:p>
        </w:tc>
        <w:tc>
          <w:tcPr>
            <w:tcW w:w="3907" w:type="dxa"/>
            <w:vAlign w:val="center"/>
          </w:tcPr>
          <w:p w14:paraId="6629296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14:paraId="41DB02B5">
            <w:pPr>
              <w:pStyle w:val="15"/>
              <w:spacing w:before="240" w:after="120"/>
              <w:jc w:val="center"/>
              <w:rPr>
                <w:rFonts w:hint="eastAsia" w:cs="宋体"/>
                <w:bCs/>
                <w:color w:val="auto"/>
                <w:highlight w:val="none"/>
              </w:rPr>
            </w:pPr>
            <w:r>
              <w:rPr>
                <w:rFonts w:hint="eastAsia" w:cs="宋体"/>
                <w:bCs/>
                <w:color w:val="auto"/>
                <w:highlight w:val="none"/>
              </w:rPr>
              <w:t>6.0</w:t>
            </w:r>
          </w:p>
        </w:tc>
      </w:tr>
      <w:tr w14:paraId="2E6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14:paraId="57F789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14:paraId="3A66701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14:paraId="7EA5FDF7">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14:paraId="5F512B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14:paraId="47196E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14:paraId="173176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1E7813E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14:paraId="1CA6487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14:paraId="1CB9738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430727E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14:paraId="451D40D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14:paraId="76720D5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14:paraId="679E4A4D">
      <w:pPr>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14:paraId="6499F05F">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2、技术部分各评分因素的细分项缺项则该项得0分；</w:t>
      </w:r>
    </w:p>
    <w:p w14:paraId="288DDDAC">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3、技术部分评分时保留1位小数，评标价得分计算时保留两位小数。</w:t>
      </w:r>
    </w:p>
    <w:p w14:paraId="21E94FF6">
      <w:pPr>
        <w:widowControl/>
        <w:rPr>
          <w:rFonts w:hint="eastAsia" w:ascii="宋体" w:hAnsi="宋体"/>
          <w:color w:val="auto"/>
          <w:sz w:val="24"/>
          <w:highlight w:val="none"/>
          <w:lang w:eastAsia="zh-CN"/>
        </w:rPr>
      </w:pPr>
      <w:r>
        <w:rPr>
          <w:rFonts w:ascii="宋体" w:hAnsi="宋体"/>
          <w:color w:val="auto"/>
          <w:sz w:val="24"/>
          <w:highlight w:val="none"/>
          <w:lang w:eastAsia="zh-CN"/>
        </w:rPr>
        <w:br w:type="page"/>
      </w:r>
    </w:p>
    <w:p w14:paraId="01B25CD9">
      <w:pPr>
        <w:pStyle w:val="3"/>
        <w:ind w:left="110" w:firstLine="0"/>
        <w:rPr>
          <w:rFonts w:hint="eastAsia" w:ascii="宋体" w:hAnsi="宋体" w:cs="宋体"/>
          <w:color w:val="auto"/>
          <w:highlight w:val="none"/>
        </w:rPr>
      </w:pPr>
      <w:bookmarkStart w:id="7" w:name="_Toc20455"/>
      <w:r>
        <w:rPr>
          <w:rFonts w:hint="eastAsia" w:ascii="宋体" w:hAnsi="宋体" w:cs="宋体"/>
          <w:color w:val="auto"/>
          <w:highlight w:val="none"/>
        </w:rPr>
        <w:t>附件3：标段划分及招标内容表</w:t>
      </w:r>
      <w:bookmarkEnd w:id="7"/>
    </w:p>
    <w:tbl>
      <w:tblPr>
        <w:tblStyle w:val="1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49"/>
        <w:gridCol w:w="2413"/>
        <w:gridCol w:w="5016"/>
      </w:tblGrid>
      <w:tr w14:paraId="5336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right w:val="single" w:color="auto" w:sz="4" w:space="0"/>
            </w:tcBorders>
            <w:vAlign w:val="center"/>
          </w:tcPr>
          <w:p w14:paraId="739BEE6F">
            <w:pPr>
              <w:jc w:val="center"/>
              <w:rPr>
                <w:rFonts w:hint="eastAsia" w:ascii="宋体" w:hAnsi="宋体" w:eastAsia="宋体" w:cs="宋体"/>
                <w:b/>
                <w:bCs/>
                <w:color w:val="auto"/>
                <w:sz w:val="24"/>
                <w:szCs w:val="24"/>
                <w:highlight w:val="none"/>
              </w:rPr>
            </w:pPr>
            <w:bookmarkStart w:id="8"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949" w:type="dxa"/>
            <w:tcBorders>
              <w:top w:val="single" w:color="auto" w:sz="4" w:space="0"/>
              <w:left w:val="single" w:color="auto" w:sz="4" w:space="0"/>
              <w:right w:val="single" w:color="auto" w:sz="4" w:space="0"/>
            </w:tcBorders>
            <w:vAlign w:val="center"/>
          </w:tcPr>
          <w:p w14:paraId="65D21584">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14:paraId="5CB3C78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413" w:type="dxa"/>
            <w:tcBorders>
              <w:top w:val="single" w:color="auto" w:sz="4" w:space="0"/>
              <w:left w:val="single" w:color="auto" w:sz="4" w:space="0"/>
              <w:right w:val="single" w:color="auto" w:sz="4" w:space="0"/>
            </w:tcBorders>
            <w:vAlign w:val="center"/>
          </w:tcPr>
          <w:p w14:paraId="3B2369CB">
            <w:pPr>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sz w:val="24"/>
                <w:szCs w:val="24"/>
                <w:highlight w:val="none"/>
                <w:lang w:eastAsia="zh-CN"/>
              </w:rPr>
              <w:t>采购明细</w:t>
            </w:r>
          </w:p>
        </w:tc>
        <w:tc>
          <w:tcPr>
            <w:tcW w:w="5016" w:type="dxa"/>
            <w:tcBorders>
              <w:top w:val="single" w:color="auto" w:sz="4" w:space="0"/>
              <w:left w:val="single" w:color="auto" w:sz="4" w:space="0"/>
              <w:right w:val="single" w:color="auto" w:sz="4" w:space="0"/>
            </w:tcBorders>
            <w:vAlign w:val="center"/>
          </w:tcPr>
          <w:p w14:paraId="4C29AB7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车辆主要参数</w:t>
            </w:r>
          </w:p>
        </w:tc>
      </w:tr>
      <w:tr w14:paraId="15C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4" w:space="0"/>
              <w:left w:val="single" w:color="auto" w:sz="4" w:space="0"/>
              <w:right w:val="single" w:color="auto" w:sz="4" w:space="0"/>
            </w:tcBorders>
            <w:vAlign w:val="center"/>
          </w:tcPr>
          <w:p w14:paraId="22FC142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eastAsia="zh-CN"/>
              </w:rPr>
              <w:t>1</w:t>
            </w:r>
          </w:p>
        </w:tc>
        <w:tc>
          <w:tcPr>
            <w:tcW w:w="949" w:type="dxa"/>
            <w:tcBorders>
              <w:top w:val="single" w:color="auto" w:sz="4" w:space="0"/>
              <w:left w:val="single" w:color="auto" w:sz="4" w:space="0"/>
              <w:right w:val="single" w:color="auto" w:sz="4" w:space="0"/>
            </w:tcBorders>
            <w:vAlign w:val="center"/>
          </w:tcPr>
          <w:p w14:paraId="3B47490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商务车</w:t>
            </w:r>
          </w:p>
        </w:tc>
        <w:tc>
          <w:tcPr>
            <w:tcW w:w="2413" w:type="dxa"/>
            <w:tcBorders>
              <w:top w:val="single" w:color="auto" w:sz="4" w:space="0"/>
              <w:left w:val="single" w:color="auto" w:sz="4" w:space="0"/>
              <w:right w:val="single" w:color="auto" w:sz="4" w:space="0"/>
            </w:tcBorders>
            <w:vAlign w:val="center"/>
          </w:tcPr>
          <w:p w14:paraId="535C6371">
            <w:pPr>
              <w:pStyle w:val="8"/>
              <w:spacing w:after="0" w:line="240" w:lineRule="auto"/>
              <w:ind w:left="0" w:left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共2辆</w:t>
            </w:r>
          </w:p>
        </w:tc>
        <w:tc>
          <w:tcPr>
            <w:tcW w:w="5016" w:type="dxa"/>
            <w:tcBorders>
              <w:top w:val="single" w:color="auto" w:sz="4" w:space="0"/>
              <w:left w:val="single" w:color="auto" w:sz="4" w:space="0"/>
              <w:right w:val="single" w:color="auto" w:sz="4" w:space="0"/>
            </w:tcBorders>
          </w:tcPr>
          <w:p w14:paraId="503BACF0">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（商务车）</w:t>
            </w:r>
          </w:p>
          <w:p w14:paraId="58542D7B">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★外观尺寸：长度≥5200 毫米，宽度≥1800 毫米，高度≥1800 毫米；轴距≥3000 毫米。</w:t>
            </w:r>
          </w:p>
          <w:p w14:paraId="35A31E50">
            <w:pPr>
              <w:widowControl/>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排量、功率：2.0L涡轮发动机轻混系统，9档或以上变速箱，发动机额定功率≥170KW，最大扭矩≥350N.m。</w:t>
            </w:r>
          </w:p>
        </w:tc>
      </w:tr>
      <w:tr w14:paraId="4A83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left w:val="single" w:color="auto" w:sz="4" w:space="0"/>
              <w:right w:val="single" w:color="auto" w:sz="4" w:space="0"/>
            </w:tcBorders>
            <w:vAlign w:val="center"/>
          </w:tcPr>
          <w:p w14:paraId="12337DAA">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标段2</w:t>
            </w:r>
          </w:p>
        </w:tc>
        <w:tc>
          <w:tcPr>
            <w:tcW w:w="949" w:type="dxa"/>
            <w:tcBorders>
              <w:top w:val="single" w:color="auto" w:sz="4" w:space="0"/>
              <w:left w:val="single" w:color="auto" w:sz="4" w:space="0"/>
              <w:right w:val="single" w:color="auto" w:sz="4" w:space="0"/>
            </w:tcBorders>
            <w:vAlign w:val="center"/>
          </w:tcPr>
          <w:p w14:paraId="5C6133D5">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轿车</w:t>
            </w:r>
          </w:p>
          <w:p w14:paraId="35D38F7B">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小型车</w:t>
            </w:r>
          </w:p>
        </w:tc>
        <w:tc>
          <w:tcPr>
            <w:tcW w:w="2413" w:type="dxa"/>
            <w:tcBorders>
              <w:top w:val="single" w:color="auto" w:sz="4" w:space="0"/>
              <w:left w:val="single" w:color="auto" w:sz="4" w:space="0"/>
              <w:right w:val="single" w:color="auto" w:sz="4" w:space="0"/>
            </w:tcBorders>
            <w:vAlign w:val="center"/>
          </w:tcPr>
          <w:p w14:paraId="4855A2DC">
            <w:pPr>
              <w:pStyle w:val="4"/>
              <w:ind w:left="0"/>
              <w:jc w:val="center"/>
              <w:rPr>
                <w:rFonts w:hint="eastAsia" w:cs="宋体"/>
                <w:color w:val="auto"/>
                <w:sz w:val="24"/>
                <w:szCs w:val="24"/>
                <w:highlight w:val="none"/>
                <w:lang w:eastAsia="zh-CN"/>
              </w:rPr>
            </w:pPr>
            <w:r>
              <w:rPr>
                <w:rFonts w:hint="eastAsia" w:cs="宋体"/>
                <w:color w:val="auto"/>
                <w:sz w:val="24"/>
                <w:szCs w:val="24"/>
                <w:highlight w:val="none"/>
                <w:lang w:eastAsia="zh-CN"/>
              </w:rPr>
              <w:t>共1</w:t>
            </w:r>
            <w:r>
              <w:rPr>
                <w:rFonts w:hint="eastAsia" w:cs="宋体"/>
                <w:color w:val="auto"/>
                <w:sz w:val="24"/>
                <w:szCs w:val="24"/>
                <w:highlight w:val="none"/>
                <w:lang w:val="en-US" w:eastAsia="zh-CN"/>
              </w:rPr>
              <w:t>5</w:t>
            </w:r>
            <w:r>
              <w:rPr>
                <w:rFonts w:hint="eastAsia" w:cs="宋体"/>
                <w:color w:val="auto"/>
                <w:sz w:val="24"/>
                <w:szCs w:val="24"/>
                <w:highlight w:val="none"/>
                <w:lang w:eastAsia="zh-CN"/>
              </w:rPr>
              <w:t>辆，其中：</w:t>
            </w:r>
          </w:p>
          <w:p w14:paraId="4015DAB1">
            <w:pPr>
              <w:pStyle w:val="4"/>
              <w:ind w:left="0"/>
              <w:jc w:val="center"/>
              <w:rPr>
                <w:rFonts w:hint="default"/>
                <w:color w:val="auto"/>
                <w:highlight w:val="none"/>
                <w:lang w:val="en-US" w:eastAsia="zh-CN"/>
              </w:rPr>
            </w:pPr>
            <w:r>
              <w:rPr>
                <w:rFonts w:hint="eastAsia" w:cs="宋体"/>
                <w:color w:val="auto"/>
                <w:sz w:val="24"/>
                <w:szCs w:val="24"/>
                <w:highlight w:val="none"/>
                <w:lang w:eastAsia="zh-CN"/>
              </w:rPr>
              <w:t>轿车10辆</w:t>
            </w:r>
            <w:r>
              <w:rPr>
                <w:rFonts w:hint="eastAsia" w:cs="宋体"/>
                <w:color w:val="auto"/>
                <w:sz w:val="24"/>
                <w:szCs w:val="24"/>
                <w:highlight w:val="none"/>
                <w:lang w:eastAsia="zh-CN"/>
              </w:rPr>
              <w:br w:type="textWrapping"/>
            </w:r>
            <w:r>
              <w:rPr>
                <w:rFonts w:hint="eastAsia" w:cs="宋体"/>
                <w:color w:val="auto"/>
                <w:sz w:val="24"/>
                <w:szCs w:val="24"/>
                <w:highlight w:val="none"/>
                <w:lang w:eastAsia="zh-CN"/>
              </w:rPr>
              <w:t>小型车</w:t>
            </w:r>
            <w:r>
              <w:rPr>
                <w:rFonts w:hint="eastAsia" w:cs="宋体"/>
                <w:color w:val="auto"/>
                <w:sz w:val="24"/>
                <w:szCs w:val="24"/>
                <w:highlight w:val="none"/>
                <w:lang w:val="en-US" w:eastAsia="zh-CN"/>
              </w:rPr>
              <w:t>5</w:t>
            </w:r>
            <w:r>
              <w:rPr>
                <w:rFonts w:hint="eastAsia" w:cs="宋体"/>
                <w:color w:val="auto"/>
                <w:sz w:val="24"/>
                <w:szCs w:val="24"/>
                <w:highlight w:val="none"/>
                <w:lang w:eastAsia="zh-CN"/>
              </w:rPr>
              <w:t>辆</w:t>
            </w:r>
          </w:p>
        </w:tc>
        <w:tc>
          <w:tcPr>
            <w:tcW w:w="5016" w:type="dxa"/>
            <w:tcBorders>
              <w:top w:val="single" w:color="auto" w:sz="4" w:space="0"/>
              <w:left w:val="single" w:color="auto" w:sz="4" w:space="0"/>
              <w:right w:val="single" w:color="auto" w:sz="4" w:space="0"/>
            </w:tcBorders>
            <w:vAlign w:val="center"/>
          </w:tcPr>
          <w:p w14:paraId="7EA40D23">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（轿车）</w:t>
            </w:r>
          </w:p>
          <w:p w14:paraId="6D48EC74">
            <w:pPr>
              <w:widowControl/>
              <w:jc w:val="both"/>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排放标准：国VI排放标准，排量不高于1.8L，最大功率不低于110KW，最大扭矩不低于250N.M，外观尺寸：长度不小于4850毫米，宽度不小于1800毫米，高度不小于1400毫米，轴距不小于2840毫米。</w:t>
            </w:r>
          </w:p>
          <w:p w14:paraId="0FB715D7">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悬架：前悬架麦弗逊式独立悬架，后悬架多连杆式独立悬架。</w:t>
            </w:r>
          </w:p>
          <w:p w14:paraId="12270990">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制动：前制动通风盘式，后制动盘式。</w:t>
            </w:r>
          </w:p>
          <w:p w14:paraId="0646872A">
            <w:pPr>
              <w:widowControl/>
              <w:jc w:val="center"/>
              <w:textAlignment w:val="center"/>
              <w:rPr>
                <w:rFonts w:hint="eastAsia" w:ascii="宋体" w:hAnsi="宋体" w:eastAsia="宋体" w:cs="宋体"/>
                <w:b/>
                <w:bCs/>
                <w:color w:val="auto"/>
                <w:sz w:val="24"/>
                <w:szCs w:val="24"/>
                <w:highlight w:val="none"/>
                <w:lang w:eastAsia="zh-CN" w:bidi="ar"/>
              </w:rPr>
            </w:pPr>
          </w:p>
          <w:p w14:paraId="617279F5">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（小型车）</w:t>
            </w:r>
          </w:p>
          <w:p w14:paraId="723E079A">
            <w:pPr>
              <w:widowControl/>
              <w:jc w:val="both"/>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排放标准：国VI排放标准，排量不低于1.4，最大功率不低于110KW，最大扭矩不低于250N.M。外观尺寸：长度不小于4670毫米，宽度不小于1800毫米，高度不小于1470毫米，轴距不小于2680毫米。</w:t>
            </w:r>
          </w:p>
          <w:p w14:paraId="5F2C2E8F">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悬架：前悬架麦弗逊式独立悬架，后悬架扭力梁式独立悬架。</w:t>
            </w:r>
          </w:p>
          <w:p w14:paraId="51096DA0">
            <w:pPr>
              <w:widowControl/>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制动：前制动通风盘式，后制动盘式。</w:t>
            </w:r>
          </w:p>
        </w:tc>
      </w:tr>
      <w:tr w14:paraId="222D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left w:val="single" w:color="auto" w:sz="4" w:space="0"/>
              <w:right w:val="single" w:color="auto" w:sz="4" w:space="0"/>
            </w:tcBorders>
            <w:vAlign w:val="center"/>
          </w:tcPr>
          <w:p w14:paraId="05BA95BD">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标段3</w:t>
            </w:r>
          </w:p>
        </w:tc>
        <w:tc>
          <w:tcPr>
            <w:tcW w:w="949" w:type="dxa"/>
            <w:tcBorders>
              <w:top w:val="single" w:color="auto" w:sz="4" w:space="0"/>
              <w:left w:val="single" w:color="auto" w:sz="4" w:space="0"/>
              <w:bottom w:val="single" w:color="auto" w:sz="4" w:space="0"/>
              <w:right w:val="single" w:color="auto" w:sz="4" w:space="0"/>
            </w:tcBorders>
            <w:vAlign w:val="center"/>
          </w:tcPr>
          <w:p w14:paraId="1B9F66EB">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皮卡车</w:t>
            </w:r>
          </w:p>
        </w:tc>
        <w:tc>
          <w:tcPr>
            <w:tcW w:w="2413" w:type="dxa"/>
            <w:tcBorders>
              <w:top w:val="single" w:color="auto" w:sz="4" w:space="0"/>
              <w:left w:val="single" w:color="auto" w:sz="4" w:space="0"/>
              <w:bottom w:val="single" w:color="auto" w:sz="4" w:space="0"/>
              <w:right w:val="single" w:color="auto" w:sz="4" w:space="0"/>
            </w:tcBorders>
            <w:vAlign w:val="center"/>
          </w:tcPr>
          <w:p w14:paraId="4BCC9C87">
            <w:pPr>
              <w:pStyle w:val="4"/>
              <w:ind w:left="0"/>
              <w:jc w:val="center"/>
              <w:rPr>
                <w:rFonts w:hint="eastAsia" w:cs="宋体"/>
                <w:color w:val="auto"/>
                <w:sz w:val="24"/>
                <w:szCs w:val="24"/>
                <w:highlight w:val="none"/>
                <w:lang w:eastAsia="zh-CN"/>
              </w:rPr>
            </w:pPr>
            <w:r>
              <w:rPr>
                <w:rFonts w:hint="eastAsia" w:cs="宋体"/>
                <w:color w:val="auto"/>
                <w:sz w:val="24"/>
                <w:szCs w:val="24"/>
                <w:highlight w:val="none"/>
                <w:lang w:eastAsia="zh-CN"/>
              </w:rPr>
              <w:t>共5</w:t>
            </w:r>
            <w:r>
              <w:rPr>
                <w:rFonts w:hint="eastAsia" w:cs="宋体"/>
                <w:color w:val="auto"/>
                <w:sz w:val="24"/>
                <w:szCs w:val="24"/>
                <w:highlight w:val="none"/>
                <w:lang w:val="en-US" w:eastAsia="zh-CN"/>
              </w:rPr>
              <w:t>3</w:t>
            </w:r>
            <w:r>
              <w:rPr>
                <w:rFonts w:hint="eastAsia" w:cs="宋体"/>
                <w:color w:val="auto"/>
                <w:sz w:val="24"/>
                <w:szCs w:val="24"/>
                <w:highlight w:val="none"/>
                <w:lang w:eastAsia="zh-CN"/>
              </w:rPr>
              <w:t>辆，其中：</w:t>
            </w:r>
          </w:p>
          <w:p w14:paraId="6098FF34">
            <w:pPr>
              <w:jc w:val="center"/>
              <w:rPr>
                <w:rFonts w:hint="default"/>
                <w:color w:val="auto"/>
                <w:highlight w:val="none"/>
                <w:lang w:val="en-US" w:eastAsia="zh-CN"/>
              </w:rPr>
            </w:pPr>
            <w:r>
              <w:rPr>
                <w:rFonts w:hint="eastAsia" w:ascii="宋体" w:hAnsi="宋体" w:eastAsia="宋体" w:cs="宋体"/>
                <w:color w:val="auto"/>
                <w:sz w:val="24"/>
                <w:szCs w:val="24"/>
                <w:highlight w:val="none"/>
                <w:lang w:eastAsia="zh-CN"/>
              </w:rPr>
              <w:t>两驱皮卡4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辆</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四驱皮卡9辆</w:t>
            </w:r>
          </w:p>
        </w:tc>
        <w:tc>
          <w:tcPr>
            <w:tcW w:w="5016" w:type="dxa"/>
            <w:tcBorders>
              <w:top w:val="single" w:color="auto" w:sz="4" w:space="0"/>
              <w:left w:val="single" w:color="auto" w:sz="4" w:space="0"/>
              <w:bottom w:val="single" w:color="auto" w:sz="4" w:space="0"/>
              <w:right w:val="single" w:color="auto" w:sz="4" w:space="0"/>
            </w:tcBorders>
            <w:vAlign w:val="center"/>
          </w:tcPr>
          <w:p w14:paraId="066CE9B1">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（两驱皮卡）</w:t>
            </w:r>
          </w:p>
          <w:p w14:paraId="7A59A222">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★悬架形式：前置双叉臂独立悬架，后置非独立悬架。</w:t>
            </w:r>
          </w:p>
          <w:p w14:paraId="2E648B7C">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★制动方式：盘式制动。</w:t>
            </w:r>
          </w:p>
          <w:p w14:paraId="0C79A217">
            <w:pPr>
              <w:widowControl/>
              <w:jc w:val="center"/>
              <w:textAlignment w:val="center"/>
              <w:rPr>
                <w:rFonts w:hint="eastAsia" w:ascii="宋体" w:hAnsi="宋体" w:eastAsia="宋体" w:cs="宋体"/>
                <w:b/>
                <w:bCs/>
                <w:color w:val="auto"/>
                <w:sz w:val="24"/>
                <w:szCs w:val="24"/>
                <w:highlight w:val="none"/>
                <w:lang w:eastAsia="zh-CN" w:bidi="ar"/>
              </w:rPr>
            </w:pPr>
          </w:p>
          <w:p w14:paraId="6F1606F9">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（四驱皮卡）</w:t>
            </w:r>
          </w:p>
          <w:p w14:paraId="32F35EC0">
            <w:pPr>
              <w:widowControl/>
              <w:jc w:val="both"/>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★驱动方式：四驱。</w:t>
            </w:r>
          </w:p>
          <w:p w14:paraId="105F6852">
            <w:pPr>
              <w:widowControl/>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★悬架形式：前置双叉臂独立悬架，后置非独立悬架。</w:t>
            </w:r>
          </w:p>
        </w:tc>
      </w:tr>
      <w:bookmarkEnd w:id="4"/>
      <w:bookmarkEnd w:id="5"/>
      <w:bookmarkEnd w:id="8"/>
    </w:tbl>
    <w:p w14:paraId="27748A1E"/>
    <w:p w14:paraId="5E9B7173">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A6835"/>
    <w:multiLevelType w:val="singleLevel"/>
    <w:tmpl w:val="123A6835"/>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1AF0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both"/>
    </w:pPr>
    <w:rPr>
      <w:rFonts w:ascii="Arial" w:hAnsi="Arial" w:eastAsia="宋体" w:cs="Arial"/>
      <w:kern w:val="2"/>
      <w:sz w:val="24"/>
      <w:szCs w:val="24"/>
      <w:lang w:eastAsia="zh-CN"/>
    </w:rPr>
  </w:style>
  <w:style w:type="paragraph" w:styleId="4">
    <w:name w:val="Body Text"/>
    <w:basedOn w:val="1"/>
    <w:next w:val="1"/>
    <w:qFormat/>
    <w:uiPriority w:val="0"/>
    <w:pPr>
      <w:ind w:left="100"/>
    </w:pPr>
    <w:rPr>
      <w:rFonts w:ascii="宋体" w:hAnsi="宋体" w:eastAsia="宋体"/>
      <w:sz w:val="21"/>
      <w:szCs w:val="21"/>
    </w:rPr>
  </w:style>
  <w:style w:type="paragraph" w:styleId="5">
    <w:name w:val="Body Text Indent"/>
    <w:basedOn w:val="1"/>
    <w:unhideWhenUsed/>
    <w:qFormat/>
    <w:uiPriority w:val="99"/>
    <w:pPr>
      <w:spacing w:after="120"/>
      <w:ind w:left="420" w:leftChars="200"/>
    </w:pPr>
  </w:style>
  <w:style w:type="paragraph" w:styleId="6">
    <w:name w:val="Plain Text"/>
    <w:basedOn w:val="1"/>
    <w:next w:val="7"/>
    <w:qFormat/>
    <w:uiPriority w:val="0"/>
    <w:pPr>
      <w:spacing w:before="120" w:line="360" w:lineRule="auto"/>
      <w:jc w:val="both"/>
    </w:pPr>
    <w:rPr>
      <w:rFonts w:ascii="宋体" w:hAnsi="Courier New" w:eastAsia="宋体" w:cs="Century"/>
      <w:kern w:val="2"/>
      <w:sz w:val="21"/>
      <w:szCs w:val="21"/>
      <w:lang w:eastAsia="zh-CN"/>
    </w:rPr>
  </w:style>
  <w:style w:type="paragraph" w:styleId="7">
    <w:name w:val="List Number 5"/>
    <w:basedOn w:val="1"/>
    <w:uiPriority w:val="0"/>
    <w:pPr>
      <w:numPr>
        <w:ilvl w:val="0"/>
        <w:numId w:val="1"/>
      </w:numPr>
    </w:pPr>
  </w:style>
  <w:style w:type="paragraph" w:styleId="8">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9">
    <w:name w:val="Body Text First Indent 2"/>
    <w:basedOn w:val="5"/>
    <w:next w:val="6"/>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2">
    <w:name w:val="标题 31"/>
    <w:basedOn w:val="1"/>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styleId="13">
    <w:name w:val="List Paragraph"/>
    <w:basedOn w:val="1"/>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4">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5">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2024-11-01T02:02:22Z</dcterms:created>
  <dc:creator>Administrator</dc:creator>
  <cp:lastModifiedBy>李娜</cp:lastModifiedBy>
  <dcterms:modified xsi:type="dcterms:W3CDTF">2024-11-01T02:02:26Z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D87C5A234EEC41A893D76FAB1C55D109_12</vt:lpwstr>
  </property>
</Properties>
</file>